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10C423E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8A05C2" w:rsidRPr="008A05C2">
        <w:rPr>
          <w:rFonts w:ascii="Arial" w:eastAsia="SimSun" w:hAnsi="Arial" w:cs="Times New Roman"/>
          <w:b/>
          <w:bCs/>
          <w:sz w:val="24"/>
          <w:szCs w:val="20"/>
          <w:lang w:eastAsia="ja-JP"/>
        </w:rPr>
        <w:t>R4-2304956</w:t>
      </w:r>
    </w:p>
    <w:p w14:paraId="7EA9E28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315CD7B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97AB2">
        <w:rPr>
          <w:rFonts w:ascii="Arial" w:eastAsia="Calibri" w:hAnsi="Arial" w:cs="Arial"/>
          <w:b/>
          <w:bCs/>
          <w:sz w:val="24"/>
        </w:rPr>
        <w:t xml:space="preserve">On </w:t>
      </w:r>
      <w:r w:rsidR="003F6D44">
        <w:rPr>
          <w:rFonts w:ascii="Arial" w:eastAsia="Calibri" w:hAnsi="Arial" w:cs="Arial"/>
          <w:b/>
          <w:bCs/>
          <w:sz w:val="24"/>
        </w:rPr>
        <w:t>C</w:t>
      </w:r>
      <w:r w:rsidR="009503BF">
        <w:rPr>
          <w:rFonts w:ascii="Arial" w:eastAsia="Calibri" w:hAnsi="Arial" w:cs="Arial"/>
          <w:b/>
          <w:bCs/>
          <w:sz w:val="24"/>
        </w:rPr>
        <w:t>o-channel coexistence</w:t>
      </w:r>
      <w:r w:rsidR="007C1696">
        <w:rPr>
          <w:rFonts w:ascii="Arial" w:eastAsia="Calibri" w:hAnsi="Arial" w:cs="Arial"/>
          <w:b/>
          <w:bCs/>
          <w:sz w:val="24"/>
        </w:rPr>
        <w:t xml:space="preserve"> </w:t>
      </w:r>
      <w:r w:rsidR="009503BF">
        <w:rPr>
          <w:rFonts w:ascii="Arial" w:eastAsia="Calibri" w:hAnsi="Arial" w:cs="Arial"/>
          <w:b/>
          <w:bCs/>
          <w:sz w:val="24"/>
        </w:rPr>
        <w:t xml:space="preserve">between NR </w:t>
      </w:r>
      <w:r w:rsidR="006431BA">
        <w:rPr>
          <w:rFonts w:ascii="Arial" w:eastAsia="Calibri" w:hAnsi="Arial" w:cs="Arial"/>
          <w:b/>
          <w:bCs/>
          <w:sz w:val="24"/>
        </w:rPr>
        <w:t xml:space="preserve">sidelink </w:t>
      </w:r>
      <w:r w:rsidR="009503BF">
        <w:rPr>
          <w:rFonts w:ascii="Arial" w:eastAsia="Calibri" w:hAnsi="Arial" w:cs="Arial"/>
          <w:b/>
          <w:bCs/>
          <w:sz w:val="24"/>
        </w:rPr>
        <w:t>and LTE</w:t>
      </w:r>
      <w:r w:rsidR="006431BA">
        <w:rPr>
          <w:rFonts w:ascii="Arial" w:eastAsia="Calibri" w:hAnsi="Arial" w:cs="Arial"/>
          <w:b/>
          <w:bCs/>
          <w:sz w:val="24"/>
        </w:rPr>
        <w:t xml:space="preserve"> sidelink</w:t>
      </w:r>
      <w:r w:rsidR="009503BF">
        <w:rPr>
          <w:rFonts w:ascii="Arial" w:eastAsia="Calibri" w:hAnsi="Arial" w:cs="Arial"/>
          <w:b/>
          <w:bCs/>
          <w:sz w:val="24"/>
        </w:rPr>
        <w:t xml:space="preserve"> </w:t>
      </w:r>
    </w:p>
    <w:p w14:paraId="0E1AC063" w14:textId="63E8CE3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95FAD">
        <w:rPr>
          <w:rFonts w:ascii="Arial" w:eastAsia="MS Mincho" w:hAnsi="Arial" w:cs="Arial"/>
          <w:b/>
          <w:bCs/>
          <w:sz w:val="24"/>
          <w:szCs w:val="20"/>
        </w:rPr>
        <w:t>5.</w:t>
      </w:r>
      <w:r w:rsidR="00DC5C13">
        <w:rPr>
          <w:rFonts w:ascii="Arial" w:eastAsia="MS Mincho" w:hAnsi="Arial" w:cs="Arial"/>
          <w:b/>
          <w:bCs/>
          <w:sz w:val="24"/>
          <w:szCs w:val="20"/>
        </w:rPr>
        <w:t>31</w:t>
      </w:r>
      <w:r w:rsidR="00695FAD">
        <w:rPr>
          <w:rFonts w:ascii="Arial" w:eastAsia="MS Mincho" w:hAnsi="Arial" w:cs="Arial"/>
          <w:b/>
          <w:bCs/>
          <w:sz w:val="24"/>
          <w:szCs w:val="20"/>
        </w:rPr>
        <w:t>.2</w:t>
      </w:r>
      <w:r w:rsidR="00DC5C13">
        <w:rPr>
          <w:rFonts w:ascii="Arial" w:eastAsia="MS Mincho" w:hAnsi="Arial" w:cs="Arial"/>
          <w:b/>
          <w:bCs/>
          <w:sz w:val="24"/>
          <w:szCs w:val="20"/>
        </w:rPr>
        <w:t>.4</w:t>
      </w:r>
    </w:p>
    <w:p w14:paraId="33535AC0" w14:textId="001B8E55"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897AB2">
        <w:rPr>
          <w:rFonts w:ascii="Arial" w:eastAsia="Calibri" w:hAnsi="Arial" w:cs="Arial"/>
          <w:b/>
          <w:bCs/>
          <w:sz w:val="24"/>
        </w:rPr>
        <w:t>Approval</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EC77A8" w14:textId="78F8AE5E" w:rsidR="0082115E" w:rsidRDefault="0082115E" w:rsidP="0082115E">
      <w:pPr>
        <w:jc w:val="both"/>
      </w:pPr>
      <w:r>
        <w:t xml:space="preserve">The updated </w:t>
      </w:r>
      <w:r w:rsidRPr="008A05C2">
        <w:t xml:space="preserve">WID </w:t>
      </w:r>
      <w:fldSimple w:instr=" REF _Ref117760794 \n \h  \* MERGEFORMAT ">
        <w:r w:rsidR="008A05C2" w:rsidRPr="008A05C2">
          <w:t>[1].</w:t>
        </w:r>
      </w:fldSimple>
      <w:r>
        <w:t xml:space="preserve"> of NR sidelink evolution from 3GPP TSG RAN Meeting #9</w:t>
      </w:r>
      <w:r w:rsidR="00E1204A">
        <w:t>9</w:t>
      </w:r>
      <w:r>
        <w:t>-e includes an objective related to the support of operation of sidelink in unlicensed spectrum and also has an objective related to support of new introduced features (</w:t>
      </w:r>
      <w:proofErr w:type="gramStart"/>
      <w:r>
        <w:t>e.g.</w:t>
      </w:r>
      <w:proofErr w:type="gramEnd"/>
      <w:r>
        <w:t xml:space="preserve"> SL unlicensed) and frequency bands. Relevant objectives are copied below.</w:t>
      </w:r>
    </w:p>
    <w:tbl>
      <w:tblPr>
        <w:tblStyle w:val="TableGrid"/>
        <w:tblW w:w="0" w:type="auto"/>
        <w:tblLook w:val="04A0" w:firstRow="1" w:lastRow="0" w:firstColumn="1" w:lastColumn="0" w:noHBand="0" w:noVBand="1"/>
      </w:tblPr>
      <w:tblGrid>
        <w:gridCol w:w="9617"/>
      </w:tblGrid>
      <w:tr w:rsidR="0082115E" w14:paraId="61E0D4C2" w14:textId="77777777">
        <w:tc>
          <w:tcPr>
            <w:tcW w:w="9617" w:type="dxa"/>
          </w:tcPr>
          <w:p w14:paraId="79FDB217" w14:textId="77777777" w:rsidR="00D3541D" w:rsidRDefault="00D3541D" w:rsidP="00D3541D">
            <w:pPr>
              <w:numPr>
                <w:ilvl w:val="0"/>
                <w:numId w:val="34"/>
              </w:numPr>
              <w:spacing w:before="120"/>
              <w:rPr>
                <w:rFonts w:ascii="Times" w:hAnsi="Times" w:cs="Times"/>
                <w:iCs/>
              </w:rPr>
            </w:pPr>
            <w:r>
              <w:rPr>
                <w:rFonts w:ascii="Times" w:hAnsi="Times" w:cs="Times"/>
              </w:rPr>
              <w:t xml:space="preserve">Study and specify, if necessary, mechanism(s) for </w:t>
            </w:r>
            <w:r w:rsidRPr="00D3541D">
              <w:rPr>
                <w:rFonts w:ascii="Times" w:hAnsi="Times" w:cs="Times"/>
                <w:highlight w:val="yellow"/>
              </w:rPr>
              <w:t>co-channel coexistence for LTE sidelink and NR sidelink including performance</w:t>
            </w:r>
            <w:r>
              <w:rPr>
                <w:rFonts w:ascii="Times" w:hAnsi="Times" w:cs="Times"/>
              </w:rPr>
              <w:t xml:space="preserve">, necessity, feasibility, and potential specification impact if any [RAN1, RAN2, </w:t>
            </w:r>
            <w:r w:rsidRPr="00D3541D">
              <w:rPr>
                <w:rFonts w:ascii="Times" w:hAnsi="Times" w:cs="Times"/>
                <w:highlight w:val="yellow"/>
              </w:rPr>
              <w:t>RAN4</w:t>
            </w:r>
            <w:r>
              <w:rPr>
                <w:rFonts w:ascii="Times" w:hAnsi="Times" w:cs="Times"/>
              </w:rPr>
              <w:t>]</w:t>
            </w:r>
          </w:p>
          <w:p w14:paraId="14A6185D"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430172F0"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9A34225" w14:textId="77777777" w:rsidR="00D3541D" w:rsidRPr="00731D77" w:rsidRDefault="00D3541D" w:rsidP="00D3541D">
            <w:pPr>
              <w:numPr>
                <w:ilvl w:val="0"/>
                <w:numId w:val="33"/>
              </w:numPr>
              <w:spacing w:before="60" w:after="60"/>
              <w:ind w:left="993" w:hanging="284"/>
              <w:rPr>
                <w:rFonts w:ascii="Times" w:hAnsi="Times" w:cs="Times"/>
                <w:iCs/>
                <w:lang w:eastAsia="ko-KR"/>
              </w:rPr>
            </w:pPr>
            <w:r w:rsidRPr="00731D77">
              <w:rPr>
                <w:rFonts w:ascii="Times" w:hAnsi="Times" w:cs="Times"/>
                <w:iCs/>
                <w:lang w:eastAsia="ko-KR"/>
              </w:rPr>
              <w:t>RAN1 is tasked to support only 15 and 30 kHz SCSs for dynamic resource pool sharing. Existing RAN1 agreements for dynamic resource pool sharing apply to support of 30 kHz.</w:t>
            </w:r>
          </w:p>
          <w:p w14:paraId="772D60ED"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22EC5BFC"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No change to the R16/17 resource allocation procedure in PHY due to this restriction</w:t>
            </w:r>
          </w:p>
          <w:p w14:paraId="60919DFF"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The existing SL slot structure from Rel-16 is unchanged</w:t>
            </w:r>
          </w:p>
          <w:p w14:paraId="4D673C77"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The starting symbol of the first of the overlapping NR SL slots is assumed to be aligned with the first symbol of the LTE SL subframe</w:t>
            </w:r>
          </w:p>
          <w:p w14:paraId="0C87929A"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480FCA9A" w14:textId="77777777" w:rsidR="00D3541D" w:rsidRDefault="00D3541D" w:rsidP="00D3541D">
            <w:pPr>
              <w:numPr>
                <w:ilvl w:val="2"/>
                <w:numId w:val="33"/>
              </w:numPr>
              <w:spacing w:before="60" w:after="60"/>
              <w:rPr>
                <w:rFonts w:ascii="Times" w:hAnsi="Times" w:cs="Times"/>
                <w:iCs/>
                <w:lang w:eastAsia="ko-KR"/>
              </w:rPr>
            </w:pPr>
            <w:r>
              <w:rPr>
                <w:rFonts w:ascii="Times" w:hAnsi="Times" w:cs="Times"/>
                <w:iCs/>
                <w:lang w:eastAsia="ko-KR"/>
              </w:rPr>
              <w:t xml:space="preserve">Note, this is </w:t>
            </w:r>
            <w:proofErr w:type="spellStart"/>
            <w:r>
              <w:rPr>
                <w:rFonts w:ascii="Times" w:hAnsi="Times" w:cs="Times"/>
                <w:iCs/>
                <w:lang w:eastAsia="ko-KR"/>
              </w:rPr>
              <w:t>inline</w:t>
            </w:r>
            <w:proofErr w:type="spellEnd"/>
            <w:r>
              <w:rPr>
                <w:rFonts w:ascii="Times" w:hAnsi="Times" w:cs="Times"/>
                <w:iCs/>
                <w:lang w:eastAsia="ko-KR"/>
              </w:rPr>
              <w:t xml:space="preserve"> with Option 1-2 in the working assumption made in RAN1#112. No other options from the working assumption need to be considered.</w:t>
            </w:r>
          </w:p>
          <w:p w14:paraId="20DC59AD" w14:textId="77777777" w:rsidR="00D3541D" w:rsidRDefault="00D3541D" w:rsidP="00D3541D">
            <w:pPr>
              <w:numPr>
                <w:ilvl w:val="1"/>
                <w:numId w:val="33"/>
              </w:numPr>
              <w:spacing w:before="60" w:after="60"/>
              <w:rPr>
                <w:rFonts w:ascii="Times" w:hAnsi="Times" w:cs="Times"/>
                <w:iCs/>
                <w:lang w:eastAsia="ko-KR"/>
              </w:rPr>
            </w:pPr>
            <w:r>
              <w:rPr>
                <w:rFonts w:ascii="Times" w:hAnsi="Times" w:cs="Times"/>
                <w:iCs/>
                <w:lang w:eastAsia="ko-KR"/>
              </w:rPr>
              <w:t>Mode 2 operation only</w:t>
            </w:r>
          </w:p>
          <w:p w14:paraId="5748A1CC" w14:textId="77777777" w:rsidR="0082115E" w:rsidRDefault="0082115E" w:rsidP="0082115E">
            <w:pPr>
              <w:numPr>
                <w:ilvl w:val="0"/>
                <w:numId w:val="29"/>
              </w:numPr>
              <w:overflowPunct w:val="0"/>
              <w:autoSpaceDE w:val="0"/>
              <w:autoSpaceDN w:val="0"/>
              <w:adjustRightInd w:val="0"/>
              <w:spacing w:before="120"/>
              <w:jc w:val="both"/>
              <w:textAlignment w:val="baseline"/>
              <w:rPr>
                <w:rFonts w:ascii="Times" w:hAnsi="Times" w:cs="Times"/>
                <w:lang w:eastAsia="ko-KR"/>
              </w:rPr>
            </w:pPr>
            <w:r w:rsidRPr="7B70DB4D">
              <w:rPr>
                <w:rFonts w:ascii="Times" w:hAnsi="Times" w:cs="Times"/>
                <w:highlight w:val="yellow"/>
                <w:lang w:eastAsia="ko-KR"/>
              </w:rPr>
              <w:t>UE Tx and Rx RF requirement for supporting new features introduced in this WI, sidelink frequency bands for single-carrier operation</w:t>
            </w:r>
            <w:r w:rsidRPr="7B70DB4D">
              <w:rPr>
                <w:rFonts w:ascii="Times" w:hAnsi="Times" w:cs="Times"/>
                <w:lang w:eastAsia="ko-KR"/>
              </w:rPr>
              <w:t xml:space="preserve"> and frequency band combinations for carrier aggregation operation [</w:t>
            </w:r>
            <w:r w:rsidRPr="7B70DB4D">
              <w:rPr>
                <w:rFonts w:ascii="Times" w:hAnsi="Times" w:cs="Times"/>
                <w:highlight w:val="yellow"/>
                <w:lang w:eastAsia="ko-KR"/>
              </w:rPr>
              <w:t>RAN4</w:t>
            </w:r>
            <w:r w:rsidRPr="7B70DB4D">
              <w:rPr>
                <w:rFonts w:ascii="Times" w:hAnsi="Times" w:cs="Times"/>
                <w:lang w:eastAsia="ko-KR"/>
              </w:rPr>
              <w:t>]</w:t>
            </w:r>
          </w:p>
          <w:p w14:paraId="1873EC53"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The exact frequency bands for both licensed and ITS-dedicated spectrum in FR1 and FR2 are to be determined based on company input during the WI.</w:t>
            </w:r>
          </w:p>
          <w:p w14:paraId="0CED2654" w14:textId="77777777" w:rsidR="00B40E37" w:rsidRDefault="00B40E37" w:rsidP="00B40E37">
            <w:pPr>
              <w:numPr>
                <w:ilvl w:val="0"/>
                <w:numId w:val="27"/>
              </w:numPr>
              <w:spacing w:before="60" w:after="60"/>
              <w:rPr>
                <w:rFonts w:ascii="Times" w:hAnsi="Times" w:cs="Times"/>
                <w:iCs/>
                <w:lang w:eastAsia="ko-KR"/>
              </w:rPr>
            </w:pPr>
            <w:r w:rsidRPr="00450B0D">
              <w:rPr>
                <w:rFonts w:ascii="Times" w:hAnsi="Times" w:cs="Times"/>
                <w:iCs/>
                <w:lang w:eastAsia="ko-KR"/>
              </w:rPr>
              <w:t xml:space="preserve">The frequency band combinations </w:t>
            </w:r>
            <w:proofErr w:type="gramStart"/>
            <w:r>
              <w:rPr>
                <w:rFonts w:ascii="Times" w:hAnsi="Times" w:cs="Times"/>
                <w:iCs/>
                <w:lang w:eastAsia="ko-KR"/>
              </w:rPr>
              <w:t>is</w:t>
            </w:r>
            <w:proofErr w:type="gramEnd"/>
            <w:r>
              <w:rPr>
                <w:rFonts w:ascii="Times" w:hAnsi="Times" w:cs="Times"/>
                <w:iCs/>
                <w:lang w:eastAsia="ko-KR"/>
              </w:rPr>
              <w:t xml:space="preserve"> limited to the </w:t>
            </w:r>
            <w:r w:rsidRPr="00450B0D">
              <w:rPr>
                <w:rFonts w:ascii="Times" w:hAnsi="Times" w:cs="Times"/>
                <w:iCs/>
                <w:lang w:eastAsia="ko-KR"/>
              </w:rPr>
              <w:t xml:space="preserve">ITS-dedicated spectrum </w:t>
            </w:r>
            <w:r w:rsidRPr="00E54642">
              <w:rPr>
                <w:rFonts w:ascii="Times" w:hAnsi="Times" w:cs="Times"/>
                <w:iCs/>
                <w:lang w:eastAsia="ko-KR"/>
              </w:rPr>
              <w:t>only (Band n47) for contiguous carrier aggregation</w:t>
            </w:r>
            <w:r w:rsidRPr="00450B0D">
              <w:rPr>
                <w:rFonts w:ascii="Times" w:hAnsi="Times" w:cs="Times"/>
                <w:iCs/>
                <w:lang w:eastAsia="ko-KR"/>
              </w:rPr>
              <w:t>.</w:t>
            </w:r>
          </w:p>
          <w:p w14:paraId="0A7F77C0"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Frequency bands for the unlicensed spectrum in FR1 are [n46 and n96/n102] (i.e., 5GHz and 6GHz) in accordance with corresponding national regulatory requirements.</w:t>
            </w:r>
          </w:p>
          <w:p w14:paraId="5721B978"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Support of new sidelink frequency bands and band combinations should ensure coexistence between sidelink and Uu interface in the same and adjacent channels in licensed spectrum.</w:t>
            </w:r>
          </w:p>
          <w:p w14:paraId="43D51DB0" w14:textId="77777777" w:rsidR="0082115E" w:rsidRPr="00FD7D31" w:rsidRDefault="0082115E">
            <w:pPr>
              <w:overflowPunct w:val="0"/>
              <w:autoSpaceDE w:val="0"/>
              <w:autoSpaceDN w:val="0"/>
              <w:adjustRightInd w:val="0"/>
              <w:spacing w:before="60" w:after="60"/>
              <w:ind w:left="993"/>
              <w:jc w:val="both"/>
              <w:textAlignment w:val="baseline"/>
              <w:rPr>
                <w:rFonts w:ascii="Times" w:hAnsi="Times" w:cs="Times"/>
                <w:lang w:eastAsia="ko-KR"/>
              </w:rPr>
            </w:pPr>
          </w:p>
        </w:tc>
      </w:tr>
    </w:tbl>
    <w:p w14:paraId="094EFEEE" w14:textId="67939B97" w:rsidR="0082115E" w:rsidRPr="00420B53" w:rsidRDefault="0082115E" w:rsidP="0082115E">
      <w:pPr>
        <w:spacing w:before="120" w:after="120"/>
        <w:jc w:val="both"/>
        <w:rPr>
          <w:rStyle w:val="Emphasis"/>
        </w:rPr>
      </w:pPr>
      <w:r w:rsidRPr="7B70DB4D">
        <w:rPr>
          <w:rStyle w:val="normaltextrun"/>
          <w:color w:val="000000"/>
          <w:shd w:val="clear" w:color="auto" w:fill="FFFFFF"/>
        </w:rPr>
        <w:t xml:space="preserve">In this paper we discuss potential RAN4 impact on RF requirements for SL </w:t>
      </w:r>
      <w:r w:rsidR="003C2903">
        <w:rPr>
          <w:rStyle w:val="normaltextrun"/>
          <w:color w:val="000000"/>
          <w:shd w:val="clear" w:color="auto" w:fill="FFFFFF"/>
        </w:rPr>
        <w:t>co-channel coexistence</w:t>
      </w:r>
      <w:r w:rsidR="00672519">
        <w:rPr>
          <w:rStyle w:val="normaltextrun"/>
          <w:color w:val="000000"/>
          <w:shd w:val="clear" w:color="auto" w:fill="FFFFFF"/>
        </w:rPr>
        <w:t xml:space="preserve"> of LTE and NR SL</w:t>
      </w:r>
      <w:r w:rsidRPr="7B70DB4D">
        <w:rPr>
          <w:rStyle w:val="normaltextrun"/>
          <w:color w:val="000000"/>
          <w:shd w:val="clear" w:color="auto" w:fill="FFFFFF"/>
        </w:rPr>
        <w:t>.</w:t>
      </w:r>
    </w:p>
    <w:p w14:paraId="075F162B" w14:textId="77777777" w:rsidR="0060543D" w:rsidRPr="00EF698B" w:rsidRDefault="0060543D" w:rsidP="005C23A4"/>
    <w:p w14:paraId="65E21EC0" w14:textId="77777777" w:rsidR="003B659E" w:rsidRPr="00EF698B" w:rsidRDefault="003B659E" w:rsidP="00AE56B1">
      <w:pPr>
        <w:pStyle w:val="RAN4H1"/>
        <w:rPr>
          <w:lang w:val="en-US"/>
        </w:rPr>
      </w:pPr>
      <w:bookmarkStart w:id="4" w:name="_Toc116995842"/>
      <w:r w:rsidRPr="00EF698B">
        <w:rPr>
          <w:lang w:val="en-US"/>
        </w:rPr>
        <w:lastRenderedPageBreak/>
        <w:t>Discussion</w:t>
      </w:r>
      <w:bookmarkEnd w:id="4"/>
    </w:p>
    <w:p w14:paraId="63DC4A8A" w14:textId="77777777" w:rsidR="002D048C" w:rsidRDefault="002D048C" w:rsidP="00593931">
      <w:pPr>
        <w:jc w:val="both"/>
      </w:pPr>
      <w:r w:rsidRPr="002D048C">
        <w:t xml:space="preserve">Co-channel co-existence between two RATs can be achieved in a semi-static manner by enforcing TDM, FDM resource sharing, or it can be done using a dynamic radio resource sharing mechanism. Translated into NR-LTE sidelink co-channel coexistence that corresponds to NR and LTE being configured with a non-overlapping RP (in time) for TDM, or a non-overlapping RP (in frequency) for FDM or a fully or partially overlapping RP where a set of rules and observations of the other RATs behavior decides when the device can access the RP (for dynamic). RAN1 has concluded that TDM co-channel coexistence can be achieved with no specification changes needed (hence no RAN4 impact expected there either). </w:t>
      </w:r>
    </w:p>
    <w:p w14:paraId="3238B92A" w14:textId="5098510C" w:rsidR="002D048C" w:rsidRDefault="002D048C" w:rsidP="00593931">
      <w:pPr>
        <w:jc w:val="both"/>
      </w:pPr>
      <w:r w:rsidRPr="002D048C">
        <w:t xml:space="preserve">RAN1 are currently focused on dynamic co-channel coexistence where RAN4 impact is also expected. As no specification changes are allowed on the LTE SL specifications to support co-channel coexistence with NR SL, the focus is on the NR behavior to dynamically coexist with LTE SL. Below we will discuss the different areas that will have RAN4 RRM impact. RAN1 currently puts high priority on what is known as a Type-A device, which consists of an NR and LTE </w:t>
      </w:r>
      <w:proofErr w:type="gramStart"/>
      <w:r w:rsidRPr="002D048C">
        <w:t>module</w:t>
      </w:r>
      <w:proofErr w:type="gramEnd"/>
      <w:r w:rsidRPr="002D048C">
        <w:t xml:space="preserve"> and it is assumed that these have an internal interface for in-device coexistence.</w:t>
      </w:r>
    </w:p>
    <w:p w14:paraId="6CDA099A" w14:textId="40F3D8EB" w:rsidR="00397850" w:rsidRDefault="00397850" w:rsidP="00397850">
      <w:pPr>
        <w:jc w:val="both"/>
      </w:pPr>
      <w:r>
        <w:t>Currently, sidelink requirements in RAN4 RF specifications are defined at least on the following specific sections for V2X communications:</w:t>
      </w:r>
    </w:p>
    <w:p w14:paraId="03AF41C6" w14:textId="77777777" w:rsidR="00397850" w:rsidRDefault="00397850" w:rsidP="00397850">
      <w:pPr>
        <w:pStyle w:val="ListParagraph"/>
        <w:numPr>
          <w:ilvl w:val="0"/>
          <w:numId w:val="31"/>
        </w:numPr>
        <w:jc w:val="both"/>
      </w:pPr>
      <w:r>
        <w:t>5.2E</w:t>
      </w:r>
      <w:r>
        <w:tab/>
        <w:t>Operating bands for V2X</w:t>
      </w:r>
    </w:p>
    <w:p w14:paraId="757B00E6" w14:textId="77777777" w:rsidR="00397850" w:rsidRDefault="00397850" w:rsidP="00397850">
      <w:pPr>
        <w:pStyle w:val="ListParagraph"/>
        <w:numPr>
          <w:ilvl w:val="0"/>
          <w:numId w:val="31"/>
        </w:numPr>
        <w:jc w:val="both"/>
      </w:pPr>
      <w:r>
        <w:t>5.3E</w:t>
      </w:r>
      <w:r>
        <w:tab/>
        <w:t>Channel bandwidth for V2X</w:t>
      </w:r>
    </w:p>
    <w:p w14:paraId="0ADE6BB2" w14:textId="77777777" w:rsidR="00397850" w:rsidRDefault="00397850" w:rsidP="00397850">
      <w:pPr>
        <w:pStyle w:val="ListParagraph"/>
        <w:numPr>
          <w:ilvl w:val="0"/>
          <w:numId w:val="31"/>
        </w:numPr>
        <w:jc w:val="both"/>
      </w:pPr>
      <w:r>
        <w:t>5.4E</w:t>
      </w:r>
      <w:r>
        <w:tab/>
        <w:t>Channel arrangement for V2X</w:t>
      </w:r>
    </w:p>
    <w:p w14:paraId="11D6541F" w14:textId="77777777" w:rsidR="00397850" w:rsidRDefault="00397850" w:rsidP="00397850">
      <w:pPr>
        <w:pStyle w:val="ListParagraph"/>
        <w:numPr>
          <w:ilvl w:val="0"/>
          <w:numId w:val="31"/>
        </w:numPr>
        <w:jc w:val="both"/>
      </w:pPr>
      <w:r>
        <w:t>6.2E</w:t>
      </w:r>
      <w:r>
        <w:tab/>
        <w:t>Transmit power for V2X</w:t>
      </w:r>
    </w:p>
    <w:p w14:paraId="6665F589" w14:textId="77777777" w:rsidR="00397850" w:rsidRDefault="00397850" w:rsidP="00397850">
      <w:pPr>
        <w:pStyle w:val="ListParagraph"/>
        <w:numPr>
          <w:ilvl w:val="0"/>
          <w:numId w:val="31"/>
        </w:numPr>
        <w:jc w:val="both"/>
      </w:pPr>
      <w:r>
        <w:t>6.3E</w:t>
      </w:r>
      <w:r>
        <w:tab/>
        <w:t>Output power dynamics for V2X</w:t>
      </w:r>
    </w:p>
    <w:p w14:paraId="70898586" w14:textId="77777777" w:rsidR="00397850" w:rsidRDefault="00397850" w:rsidP="00397850">
      <w:pPr>
        <w:pStyle w:val="ListParagraph"/>
        <w:numPr>
          <w:ilvl w:val="0"/>
          <w:numId w:val="31"/>
        </w:numPr>
        <w:jc w:val="both"/>
      </w:pPr>
      <w:r>
        <w:t>6.4E</w:t>
      </w:r>
      <w:r>
        <w:tab/>
        <w:t>Transmit signal quality for V2X</w:t>
      </w:r>
    </w:p>
    <w:p w14:paraId="66D45013" w14:textId="77777777" w:rsidR="00397850" w:rsidRDefault="00397850" w:rsidP="00397850">
      <w:pPr>
        <w:pStyle w:val="ListParagraph"/>
        <w:numPr>
          <w:ilvl w:val="0"/>
          <w:numId w:val="31"/>
        </w:numPr>
        <w:jc w:val="both"/>
      </w:pPr>
      <w:r>
        <w:t>6.5E</w:t>
      </w:r>
      <w:r>
        <w:tab/>
        <w:t>Output RF spectrum emissions for V2X</w:t>
      </w:r>
    </w:p>
    <w:p w14:paraId="7A10E667" w14:textId="77777777" w:rsidR="00397850" w:rsidRDefault="00397850" w:rsidP="00397850">
      <w:pPr>
        <w:pStyle w:val="ListParagraph"/>
        <w:numPr>
          <w:ilvl w:val="0"/>
          <w:numId w:val="31"/>
        </w:numPr>
        <w:jc w:val="both"/>
      </w:pPr>
      <w:r>
        <w:t>7.3E</w:t>
      </w:r>
      <w:r>
        <w:tab/>
        <w:t>Reference sensitivity for V2X</w:t>
      </w:r>
    </w:p>
    <w:p w14:paraId="75640722" w14:textId="77777777" w:rsidR="00397850" w:rsidRDefault="00397850" w:rsidP="00397850">
      <w:pPr>
        <w:pStyle w:val="ListParagraph"/>
        <w:numPr>
          <w:ilvl w:val="0"/>
          <w:numId w:val="31"/>
        </w:numPr>
        <w:jc w:val="both"/>
      </w:pPr>
      <w:r>
        <w:t>7.4E</w:t>
      </w:r>
      <w:r>
        <w:tab/>
        <w:t>Maximum input level for V2X</w:t>
      </w:r>
    </w:p>
    <w:p w14:paraId="19729E29" w14:textId="77777777" w:rsidR="00397850" w:rsidRDefault="00397850" w:rsidP="00397850">
      <w:pPr>
        <w:pStyle w:val="ListParagraph"/>
        <w:numPr>
          <w:ilvl w:val="0"/>
          <w:numId w:val="31"/>
        </w:numPr>
        <w:jc w:val="both"/>
      </w:pPr>
      <w:r>
        <w:t>7.5E</w:t>
      </w:r>
      <w:r>
        <w:tab/>
        <w:t>Adjacent channel selectivity for V2X</w:t>
      </w:r>
    </w:p>
    <w:p w14:paraId="5D2A59A5" w14:textId="77777777" w:rsidR="00397850" w:rsidRDefault="00397850" w:rsidP="00397850">
      <w:pPr>
        <w:pStyle w:val="ListParagraph"/>
        <w:numPr>
          <w:ilvl w:val="0"/>
          <w:numId w:val="31"/>
        </w:numPr>
        <w:jc w:val="both"/>
      </w:pPr>
      <w:r>
        <w:t>7.6E</w:t>
      </w:r>
      <w:r>
        <w:tab/>
        <w:t>Blocking characteristics for V2X</w:t>
      </w:r>
    </w:p>
    <w:p w14:paraId="3CBDE51C" w14:textId="77777777" w:rsidR="00397850" w:rsidRDefault="00397850" w:rsidP="00397850">
      <w:pPr>
        <w:pStyle w:val="ListParagraph"/>
        <w:numPr>
          <w:ilvl w:val="0"/>
          <w:numId w:val="31"/>
        </w:numPr>
        <w:jc w:val="both"/>
      </w:pPr>
      <w:r>
        <w:t>7.7E</w:t>
      </w:r>
      <w:r>
        <w:tab/>
        <w:t>Spurious response for V2X</w:t>
      </w:r>
    </w:p>
    <w:p w14:paraId="5C0B38AA" w14:textId="77777777" w:rsidR="00397850" w:rsidRDefault="00397850" w:rsidP="00397850">
      <w:pPr>
        <w:pStyle w:val="ListParagraph"/>
        <w:numPr>
          <w:ilvl w:val="0"/>
          <w:numId w:val="31"/>
        </w:numPr>
        <w:jc w:val="both"/>
      </w:pPr>
      <w:r>
        <w:t>7.8E</w:t>
      </w:r>
      <w:r>
        <w:tab/>
        <w:t>Intermodulation characteristics for V2X</w:t>
      </w:r>
    </w:p>
    <w:p w14:paraId="1DDA9F85" w14:textId="439F1C4A" w:rsidR="006723FC" w:rsidRDefault="006723FC" w:rsidP="00397850">
      <w:pPr>
        <w:jc w:val="both"/>
      </w:pPr>
      <w:r>
        <w:t xml:space="preserve">While the current </w:t>
      </w:r>
      <w:r w:rsidR="007251B0">
        <w:t xml:space="preserve">work is focusing on the core requirements for the work-item we do believe that some thought already now should be given in relation to </w:t>
      </w:r>
      <w:r w:rsidR="002853FD">
        <w:t>demodulation performance requirements.</w:t>
      </w:r>
    </w:p>
    <w:p w14:paraId="7313E263" w14:textId="35FD382D" w:rsidR="002853FD" w:rsidRDefault="002853FD" w:rsidP="002853FD">
      <w:pPr>
        <w:pStyle w:val="RAN4observation0"/>
      </w:pPr>
      <w:r>
        <w:t>It is beneficial already now to consider demodulation performance requirements in relation to c</w:t>
      </w:r>
      <w:r w:rsidRPr="002853FD">
        <w:t>o-channel coexistence between NR sidelink and LTE sidelink</w:t>
      </w:r>
    </w:p>
    <w:p w14:paraId="6CBD91F1" w14:textId="5976EE29" w:rsidR="0060438F" w:rsidRDefault="002853FD" w:rsidP="00397850">
      <w:pPr>
        <w:jc w:val="both"/>
      </w:pPr>
      <w:r>
        <w:t>The</w:t>
      </w:r>
      <w:r w:rsidR="00375883">
        <w:t xml:space="preserve"> demodulation performance</w:t>
      </w:r>
      <w:r w:rsidR="001459F1">
        <w:t xml:space="preserve"> </w:t>
      </w:r>
      <w:r w:rsidR="00375883">
        <w:t>requirements</w:t>
      </w:r>
      <w:r w:rsidR="001459F1">
        <w:t xml:space="preserve"> specified for </w:t>
      </w:r>
      <w:r w:rsidR="00375883">
        <w:t xml:space="preserve">NR sidelink physical channels in </w:t>
      </w:r>
      <w:r w:rsidR="00E35F68">
        <w:t>11.</w:t>
      </w:r>
      <w:r w:rsidR="003E78E3">
        <w:t>1</w:t>
      </w:r>
      <w:r w:rsidR="000C4A14">
        <w:t xml:space="preserve"> (</w:t>
      </w:r>
      <w:proofErr w:type="spellStart"/>
      <w:r w:rsidR="000C4A14">
        <w:t>non exhaustive</w:t>
      </w:r>
      <w:proofErr w:type="spellEnd"/>
      <w:r w:rsidR="000C4A14">
        <w:t xml:space="preserve"> list)</w:t>
      </w:r>
      <w:r w:rsidR="0060438F">
        <w:t>:</w:t>
      </w:r>
    </w:p>
    <w:p w14:paraId="49756865" w14:textId="2A00CEC3" w:rsidR="0060438F" w:rsidRDefault="0060438F" w:rsidP="0060438F">
      <w:pPr>
        <w:pStyle w:val="ListParagraph"/>
        <w:numPr>
          <w:ilvl w:val="0"/>
          <w:numId w:val="36"/>
        </w:numPr>
        <w:jc w:val="both"/>
      </w:pPr>
      <w:r>
        <w:t>11.1.2 PSSCH demodulation requirements</w:t>
      </w:r>
    </w:p>
    <w:p w14:paraId="3FDEA908" w14:textId="38123721" w:rsidR="0060438F" w:rsidRDefault="0050205D" w:rsidP="0060438F">
      <w:pPr>
        <w:pStyle w:val="ListParagraph"/>
        <w:numPr>
          <w:ilvl w:val="0"/>
          <w:numId w:val="36"/>
        </w:numPr>
        <w:jc w:val="both"/>
      </w:pPr>
      <w:r>
        <w:t>11.1.3 PSCCH demodulation requirements</w:t>
      </w:r>
    </w:p>
    <w:p w14:paraId="3111E230" w14:textId="15416437" w:rsidR="0050205D" w:rsidRDefault="0050205D" w:rsidP="0060438F">
      <w:pPr>
        <w:pStyle w:val="ListParagraph"/>
        <w:numPr>
          <w:ilvl w:val="0"/>
          <w:numId w:val="36"/>
        </w:numPr>
        <w:jc w:val="both"/>
      </w:pPr>
      <w:r>
        <w:t>11.1.4 PSBCH demodulation requirements</w:t>
      </w:r>
    </w:p>
    <w:p w14:paraId="3081D93A" w14:textId="560D74A6" w:rsidR="0050205D" w:rsidRDefault="0050205D" w:rsidP="0060438F">
      <w:pPr>
        <w:pStyle w:val="ListParagraph"/>
        <w:numPr>
          <w:ilvl w:val="0"/>
          <w:numId w:val="36"/>
        </w:numPr>
        <w:jc w:val="both"/>
      </w:pPr>
      <w:r>
        <w:t>11.1.5 PSFCH demodulation requirements</w:t>
      </w:r>
    </w:p>
    <w:p w14:paraId="0E28E41F" w14:textId="727DB5EC" w:rsidR="00155322" w:rsidRDefault="000C4A14" w:rsidP="00397850">
      <w:pPr>
        <w:jc w:val="both"/>
      </w:pPr>
      <w:r>
        <w:t>T</w:t>
      </w:r>
      <w:r w:rsidR="00155322">
        <w:t xml:space="preserve">hese </w:t>
      </w:r>
      <w:r w:rsidR="00903B1C">
        <w:t xml:space="preserve">requirements should also apply to a NR SL module operating in band n47 and supporting the co-channel coexistence framework to coexist with LTE SL modules. What is not captured here, is how the NR SL module should perform when the band is shared with an LTE </w:t>
      </w:r>
      <w:r w:rsidR="00C64DCF">
        <w:t>interferer</w:t>
      </w:r>
      <w:r>
        <w:t xml:space="preserve"> (or victim for that matter). </w:t>
      </w:r>
      <w:r w:rsidR="00C64DCF">
        <w:t xml:space="preserve"> </w:t>
      </w:r>
    </w:p>
    <w:p w14:paraId="5DEF5852" w14:textId="16445076" w:rsidR="00120D23" w:rsidRDefault="00D122F5" w:rsidP="00397850">
      <w:pPr>
        <w:jc w:val="both"/>
      </w:pPr>
      <w:r>
        <w:t xml:space="preserve">While NR SL complying with co-channel coexistence will avoid </w:t>
      </w:r>
      <w:proofErr w:type="gramStart"/>
      <w:r>
        <w:t>to</w:t>
      </w:r>
      <w:r w:rsidR="00497AD2">
        <w:t xml:space="preserve"> </w:t>
      </w:r>
      <w:r>
        <w:t>transmit</w:t>
      </w:r>
      <w:proofErr w:type="gramEnd"/>
      <w:r>
        <w:t xml:space="preserve"> on the same time and frequency resources as an LTE module reserved resources, it might transmit at the same time in a different subchannel. </w:t>
      </w:r>
      <w:r w:rsidR="00F31E52">
        <w:t>That is, when the reservation is not done by the Type-A LTE module, in which case the NR module is likely to need to exclude all resources overlapping the LTE reservation.</w:t>
      </w:r>
      <w:r w:rsidR="00615EA2">
        <w:t xml:space="preserve"> There is no reason to consider the case of LTE PSSCH/PSCCH and NR PSFCH being transmitted in adjacent subchannels as this should be captured by the NR SL resource exclusion </w:t>
      </w:r>
      <w:proofErr w:type="gramStart"/>
      <w:r w:rsidR="00615EA2">
        <w:t>behavior, but</w:t>
      </w:r>
      <w:proofErr w:type="gramEnd"/>
      <w:r w:rsidR="00615EA2">
        <w:t xml:space="preserve"> may still occur for non-reserved LTE SL transmission.</w:t>
      </w:r>
      <w:r w:rsidR="00F31E52">
        <w:t xml:space="preserve"> </w:t>
      </w:r>
      <w:r w:rsidR="00615EA2">
        <w:t>Overall,</w:t>
      </w:r>
      <w:r w:rsidR="00F12A46">
        <w:t xml:space="preserve"> the NR module may still transmit on adjacent subchannels of those used by other LTE modules nearby</w:t>
      </w:r>
      <w:r w:rsidR="00615EA2">
        <w:t xml:space="preserve"> and the NR SL performance in this case is something that would be good to have a test case for to ensure NR SL performance in a co-channel coexistence scenario</w:t>
      </w:r>
      <w:r w:rsidR="00F31E52">
        <w:t>.</w:t>
      </w:r>
      <w:r w:rsidR="00120D23">
        <w:t xml:space="preserve"> It is therefore our proposal that RAN4 </w:t>
      </w:r>
      <w:r w:rsidR="00120D23">
        <w:lastRenderedPageBreak/>
        <w:t xml:space="preserve">specified a new test case for </w:t>
      </w:r>
      <w:r w:rsidR="00422CB6">
        <w:t>demodulation performance of NR PSSCH and PSCCH in presence of an LTE SL interferer.</w:t>
      </w:r>
      <w:r w:rsidR="003A39C8">
        <w:t xml:space="preserve"> This test case can be inspired by the </w:t>
      </w:r>
      <w:r w:rsidR="00B80698">
        <w:t>test case “power imbalance performance with two links” test case.</w:t>
      </w:r>
    </w:p>
    <w:p w14:paraId="14D746C4" w14:textId="43DE1773" w:rsidR="000A572C" w:rsidRDefault="000A572C" w:rsidP="000A572C">
      <w:pPr>
        <w:pStyle w:val="RAN4proposal"/>
      </w:pPr>
      <w:r>
        <w:t>RAN4 to specify a new test case for demodulation performance of NR PSSCH and PSCCH in presence of an LTE SL interferer</w:t>
      </w:r>
      <w:r w:rsidR="004E4BA1">
        <w:t>.</w:t>
      </w:r>
    </w:p>
    <w:p w14:paraId="6257FA9B" w14:textId="77777777" w:rsidR="0018295D" w:rsidRDefault="000A572C" w:rsidP="000A572C">
      <w:r>
        <w:t xml:space="preserve">NR SL PSBCH might also be impacted, but </w:t>
      </w:r>
      <w:r w:rsidR="00BA3C50">
        <w:t>RAN1 has not identified a solution for how LTE and NR will handle synchronization aspects when co-existing in the same cha</w:t>
      </w:r>
      <w:r w:rsidR="00F37FE8">
        <w:t>n</w:t>
      </w:r>
      <w:r w:rsidR="00BA3C50">
        <w:t>nel.</w:t>
      </w:r>
      <w:r w:rsidR="008A2B82">
        <w:t xml:space="preserve"> </w:t>
      </w:r>
      <w:r w:rsidR="0018295D">
        <w:t>This may include NR using LTE SyncRefUE as a synchronization source, which in that case would need to be captured in a test case.</w:t>
      </w:r>
    </w:p>
    <w:p w14:paraId="3B210A82" w14:textId="7B8F5B6E" w:rsidR="0018295D" w:rsidRDefault="008A2B82" w:rsidP="0018295D">
      <w:pPr>
        <w:pStyle w:val="RAN4proposal"/>
      </w:pPr>
      <w:r>
        <w:t xml:space="preserve"> </w:t>
      </w:r>
      <w:r w:rsidR="0018295D">
        <w:t>RAN4 to await RAN1 to</w:t>
      </w:r>
      <w:r w:rsidR="00BE596E">
        <w:t xml:space="preserve"> at least</w:t>
      </w:r>
      <w:r w:rsidR="0018295D">
        <w:t xml:space="preserve"> complete the synchronization related issues before </w:t>
      </w:r>
      <w:r w:rsidR="00BE596E">
        <w:t>continuing discussion on synchronization related performance requirements.</w:t>
      </w:r>
    </w:p>
    <w:p w14:paraId="2C98BDCA" w14:textId="77777777" w:rsidR="00AC5847" w:rsidRDefault="00F04AF0" w:rsidP="000A572C">
      <w:r>
        <w:t xml:space="preserve">Another thing is obviously that RAN4 will need to derive a set of evaluation assumptions for testing NR SL and LTE SL in the same band. To keep things as simple as possible, it is our proposal that </w:t>
      </w:r>
      <w:proofErr w:type="gramStart"/>
      <w:r>
        <w:t>a</w:t>
      </w:r>
      <w:proofErr w:type="gramEnd"/>
      <w:r>
        <w:t xml:space="preserve"> LTE SL is configured with a SL resource pool, and NR SL is configured with another SL resource pool (details of resource pool configurations for NR for co-channel coexistence to be decided by RAN2 though), </w:t>
      </w:r>
      <w:r w:rsidR="006B4D5E">
        <w:t>and aligning the sub-channel size for example to 10 RBs (that would mean 8 RBs for LTE PSSCH as 2RB for LTE PSCCH). For simplicity NR SL can use</w:t>
      </w:r>
      <w:r w:rsidR="007465F5">
        <w:t xml:space="preserve"> 15kHz SCS</w:t>
      </w:r>
      <w:r w:rsidR="00AC5847">
        <w:t>.</w:t>
      </w:r>
    </w:p>
    <w:p w14:paraId="468CB851" w14:textId="29C16740" w:rsidR="000A572C" w:rsidRPr="000A572C" w:rsidRDefault="007465F5">
      <w:pPr>
        <w:pStyle w:val="RAN4proposal"/>
      </w:pPr>
      <w:r>
        <w:t xml:space="preserve"> </w:t>
      </w:r>
      <w:r w:rsidR="00AC5847">
        <w:t>RAN4 to determine a set of evaluation parameters for NR SL and LTE SL coexistence.</w:t>
      </w:r>
      <w:r w:rsidR="00746042">
        <w:t xml:space="preserve"> This can be with two perfectly aligned resource pools (in time and frequency) as well as equal subchannel sizes.</w:t>
      </w:r>
    </w:p>
    <w:p w14:paraId="1286ECB4" w14:textId="77777777" w:rsidR="00CD7492" w:rsidRPr="00EF698B" w:rsidRDefault="00CD7492" w:rsidP="00A37002">
      <w:pPr>
        <w:pStyle w:val="RAN4H1"/>
        <w:rPr>
          <w:lang w:val="en-US"/>
        </w:rPr>
      </w:pPr>
      <w:bookmarkStart w:id="5" w:name="_Toc116995848"/>
      <w:r w:rsidRPr="00EF698B">
        <w:rPr>
          <w:lang w:val="en-US"/>
        </w:rPr>
        <w:t>Conclusion</w:t>
      </w:r>
      <w:bookmarkEnd w:id="5"/>
    </w:p>
    <w:p w14:paraId="07911E29" w14:textId="60F8E9F3" w:rsidR="00E55751" w:rsidRDefault="008B0961" w:rsidP="00936159">
      <w:r>
        <w:t>In the paper, t</w:t>
      </w:r>
      <w:r w:rsidR="005B4801">
        <w:t xml:space="preserve">he </w:t>
      </w:r>
      <w:r w:rsidR="005B4801" w:rsidRPr="00E55751">
        <w:t xml:space="preserve">following </w:t>
      </w:r>
      <w:r w:rsidR="005C1C9D">
        <w:t xml:space="preserve">observations and </w:t>
      </w:r>
      <w:r w:rsidR="000D4C49">
        <w:t>p</w:t>
      </w:r>
      <w:r w:rsidR="005B4801">
        <w:t>roposals were made:</w:t>
      </w:r>
    </w:p>
    <w:p w14:paraId="5E28D428" w14:textId="6EF38E20" w:rsidR="005C1C9D" w:rsidRDefault="005C1C9D" w:rsidP="005C1C9D">
      <w:pPr>
        <w:pStyle w:val="RAN4observation0"/>
        <w:numPr>
          <w:ilvl w:val="0"/>
          <w:numId w:val="0"/>
        </w:numPr>
      </w:pPr>
      <w:r w:rsidRPr="005C1C9D">
        <w:rPr>
          <w:b/>
          <w:bCs/>
        </w:rPr>
        <w:t>Observation 1:</w:t>
      </w:r>
      <w:r>
        <w:t xml:space="preserve"> It is beneficial already now to consider demodulation performance requirements in relation to c</w:t>
      </w:r>
      <w:r w:rsidRPr="002853FD">
        <w:t>o-channel coexistence between NR sidelink and LTE sidelink</w:t>
      </w:r>
    </w:p>
    <w:p w14:paraId="49D2F65D" w14:textId="77777777" w:rsidR="000D4C49" w:rsidRDefault="000D4C49" w:rsidP="000D4C49">
      <w:pPr>
        <w:pStyle w:val="RAN4proposal"/>
        <w:numPr>
          <w:ilvl w:val="0"/>
          <w:numId w:val="37"/>
        </w:numPr>
      </w:pPr>
      <w:r>
        <w:t>RAN4 to specify a new test case for demodulation performance of NR PSSCH and PSCCH in presence of an LTE SL interferer.</w:t>
      </w:r>
    </w:p>
    <w:p w14:paraId="126ED34C" w14:textId="77777777" w:rsidR="000D4C49" w:rsidRDefault="000D4C49" w:rsidP="000D4C49">
      <w:pPr>
        <w:pStyle w:val="RAN4proposal"/>
        <w:numPr>
          <w:ilvl w:val="0"/>
          <w:numId w:val="37"/>
        </w:numPr>
      </w:pPr>
      <w:r>
        <w:t>RAN4 to await RAN1 to at least complete the synchronization related issues before continuing discussion on synchronization related performance requirements.</w:t>
      </w:r>
    </w:p>
    <w:p w14:paraId="055D7A82" w14:textId="77777777" w:rsidR="000D4C49" w:rsidRPr="000A572C" w:rsidRDefault="000D4C49" w:rsidP="000D4C49">
      <w:pPr>
        <w:pStyle w:val="RAN4proposal"/>
        <w:numPr>
          <w:ilvl w:val="0"/>
          <w:numId w:val="37"/>
        </w:numPr>
      </w:pPr>
      <w:r>
        <w:t>RAN4 to determine a set of evaluation parameters for NR SL and LTE SL coexistence. This can be with two perfectly aligned resource pools (in time and frequency) as well as equal subchannel sizes.</w:t>
      </w:r>
    </w:p>
    <w:p w14:paraId="17C9F9ED" w14:textId="77777777" w:rsidR="00144D8F" w:rsidRPr="0060543D" w:rsidRDefault="00144D8F" w:rsidP="00144D8F">
      <w:pPr>
        <w:pStyle w:val="RAN4H1"/>
        <w:numPr>
          <w:ilvl w:val="0"/>
          <w:numId w:val="0"/>
        </w:numPr>
        <w:ind w:left="360" w:hanging="360"/>
      </w:pPr>
      <w:bookmarkStart w:id="6" w:name="_Toc116995849"/>
      <w:r w:rsidRPr="00EF698B">
        <w:t>References</w:t>
      </w:r>
      <w:bookmarkEnd w:id="6"/>
    </w:p>
    <w:p w14:paraId="3A85C659" w14:textId="77777777" w:rsidR="00144D8F" w:rsidRPr="003C4FDE" w:rsidRDefault="00144D8F" w:rsidP="00144D8F">
      <w:pPr>
        <w:pStyle w:val="ListParagraph"/>
        <w:numPr>
          <w:ilvl w:val="0"/>
          <w:numId w:val="21"/>
        </w:numPr>
        <w:ind w:right="-22"/>
      </w:pPr>
      <w:bookmarkStart w:id="7" w:name="_Ref114500673"/>
      <w:bookmarkEnd w:id="7"/>
      <w:r w:rsidRPr="005B2D67">
        <w:t>RP-230077</w:t>
      </w:r>
      <w:r w:rsidRPr="003C4FDE">
        <w:t xml:space="preserve">, </w:t>
      </w:r>
      <w:r w:rsidRPr="0057756E">
        <w:t>WID revision: NR sidelink evolution</w:t>
      </w:r>
      <w:r>
        <w:t>, OPPO</w:t>
      </w:r>
      <w:r w:rsidRPr="003C4FDE">
        <w:t xml:space="preserve">. </w:t>
      </w:r>
    </w:p>
    <w:p w14:paraId="4385FCFF" w14:textId="77777777" w:rsidR="001C5B00" w:rsidRPr="00592A86" w:rsidRDefault="001C5B00" w:rsidP="00936159"/>
    <w:sectPr w:rsidR="001C5B00" w:rsidRPr="00592A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8FB3" w14:textId="77777777" w:rsidR="00AE46D7" w:rsidRDefault="00AE46D7" w:rsidP="00001C9B">
      <w:pPr>
        <w:spacing w:after="0" w:line="240" w:lineRule="auto"/>
      </w:pPr>
      <w:r>
        <w:separator/>
      </w:r>
    </w:p>
  </w:endnote>
  <w:endnote w:type="continuationSeparator" w:id="0">
    <w:p w14:paraId="1475695C" w14:textId="77777777" w:rsidR="00AE46D7" w:rsidRDefault="00AE46D7" w:rsidP="00001C9B">
      <w:pPr>
        <w:spacing w:after="0" w:line="240" w:lineRule="auto"/>
      </w:pPr>
      <w:r>
        <w:continuationSeparator/>
      </w:r>
    </w:p>
  </w:endnote>
  <w:endnote w:type="continuationNotice" w:id="1">
    <w:p w14:paraId="79B0F1CA" w14:textId="77777777" w:rsidR="00AE46D7" w:rsidRDefault="00AE4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0D58A" w14:textId="77777777" w:rsidR="00AE46D7" w:rsidRDefault="00AE46D7" w:rsidP="00001C9B">
      <w:pPr>
        <w:spacing w:after="0" w:line="240" w:lineRule="auto"/>
      </w:pPr>
      <w:r>
        <w:separator/>
      </w:r>
    </w:p>
  </w:footnote>
  <w:footnote w:type="continuationSeparator" w:id="0">
    <w:p w14:paraId="5513C8B6" w14:textId="77777777" w:rsidR="00AE46D7" w:rsidRDefault="00AE46D7" w:rsidP="00001C9B">
      <w:pPr>
        <w:spacing w:after="0" w:line="240" w:lineRule="auto"/>
      </w:pPr>
      <w:r>
        <w:continuationSeparator/>
      </w:r>
    </w:p>
  </w:footnote>
  <w:footnote w:type="continuationNotice" w:id="1">
    <w:p w14:paraId="0BEAFB0D" w14:textId="77777777" w:rsidR="00AE46D7" w:rsidRDefault="00AE46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794E7E"/>
    <w:multiLevelType w:val="hybridMultilevel"/>
    <w:tmpl w:val="F8604162"/>
    <w:lvl w:ilvl="0" w:tplc="64B29A6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EBA6D996"/>
    <w:lvl w:ilvl="0" w:tplc="2772A77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0B5E7A"/>
    <w:multiLevelType w:val="hybridMultilevel"/>
    <w:tmpl w:val="857EAE6E"/>
    <w:lvl w:ilvl="0" w:tplc="5DE80EE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D1EC6"/>
    <w:multiLevelType w:val="hybridMultilevel"/>
    <w:tmpl w:val="80B4FA3A"/>
    <w:lvl w:ilvl="0" w:tplc="339C463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593A50"/>
    <w:multiLevelType w:val="hybridMultilevel"/>
    <w:tmpl w:val="900E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D06E6"/>
    <w:multiLevelType w:val="hybridMultilevel"/>
    <w:tmpl w:val="DF66E686"/>
    <w:lvl w:ilvl="0" w:tplc="339C4636">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44859">
    <w:abstractNumId w:val="1"/>
  </w:num>
  <w:num w:numId="2" w16cid:durableId="1792674274">
    <w:abstractNumId w:val="7"/>
  </w:num>
  <w:num w:numId="3" w16cid:durableId="609356266">
    <w:abstractNumId w:val="14"/>
  </w:num>
  <w:num w:numId="4" w16cid:durableId="541937559">
    <w:abstractNumId w:val="6"/>
  </w:num>
  <w:num w:numId="5" w16cid:durableId="527332951">
    <w:abstractNumId w:val="20"/>
  </w:num>
  <w:num w:numId="6" w16cid:durableId="1453866603">
    <w:abstractNumId w:val="11"/>
  </w:num>
  <w:num w:numId="7" w16cid:durableId="1286085711">
    <w:abstractNumId w:val="13"/>
  </w:num>
  <w:num w:numId="8" w16cid:durableId="1494880412">
    <w:abstractNumId w:val="13"/>
    <w:lvlOverride w:ilvl="0">
      <w:startOverride w:val="1"/>
    </w:lvlOverride>
  </w:num>
  <w:num w:numId="9" w16cid:durableId="326598181">
    <w:abstractNumId w:val="13"/>
    <w:lvlOverride w:ilvl="0">
      <w:startOverride w:val="1"/>
    </w:lvlOverride>
  </w:num>
  <w:num w:numId="10" w16cid:durableId="1045064847">
    <w:abstractNumId w:val="13"/>
    <w:lvlOverride w:ilvl="0">
      <w:startOverride w:val="1"/>
    </w:lvlOverride>
  </w:num>
  <w:num w:numId="11" w16cid:durableId="1839686116">
    <w:abstractNumId w:val="11"/>
    <w:lvlOverride w:ilvl="0">
      <w:startOverride w:val="1"/>
    </w:lvlOverride>
  </w:num>
  <w:num w:numId="12" w16cid:durableId="364208938">
    <w:abstractNumId w:val="13"/>
    <w:lvlOverride w:ilvl="0">
      <w:startOverride w:val="1"/>
    </w:lvlOverride>
  </w:num>
  <w:num w:numId="13" w16cid:durableId="1796099864">
    <w:abstractNumId w:val="11"/>
    <w:lvlOverride w:ilvl="0">
      <w:startOverride w:val="1"/>
    </w:lvlOverride>
  </w:num>
  <w:num w:numId="14" w16cid:durableId="784349694">
    <w:abstractNumId w:val="13"/>
    <w:lvlOverride w:ilvl="0">
      <w:startOverride w:val="1"/>
    </w:lvlOverride>
  </w:num>
  <w:num w:numId="15" w16cid:durableId="1330719308">
    <w:abstractNumId w:val="21"/>
  </w:num>
  <w:num w:numId="16" w16cid:durableId="1384596121">
    <w:abstractNumId w:val="4"/>
  </w:num>
  <w:num w:numId="17" w16cid:durableId="637615118">
    <w:abstractNumId w:val="19"/>
  </w:num>
  <w:num w:numId="18" w16cid:durableId="122933982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563522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9584954">
    <w:abstractNumId w:val="10"/>
  </w:num>
  <w:num w:numId="21" w16cid:durableId="1825926017">
    <w:abstractNumId w:val="16"/>
  </w:num>
  <w:num w:numId="22" w16cid:durableId="585918129">
    <w:abstractNumId w:val="11"/>
    <w:lvlOverride w:ilvl="0">
      <w:startOverride w:val="1"/>
    </w:lvlOverride>
  </w:num>
  <w:num w:numId="23" w16cid:durableId="1679849711">
    <w:abstractNumId w:val="13"/>
    <w:lvlOverride w:ilvl="0">
      <w:startOverride w:val="1"/>
    </w:lvlOverride>
  </w:num>
  <w:num w:numId="24" w16cid:durableId="418217476">
    <w:abstractNumId w:val="3"/>
  </w:num>
  <w:num w:numId="25" w16cid:durableId="429786803">
    <w:abstractNumId w:val="0"/>
  </w:num>
  <w:num w:numId="26" w16cid:durableId="1968198438">
    <w:abstractNumId w:val="0"/>
    <w:lvlOverride w:ilvl="0">
      <w:startOverride w:val="1"/>
    </w:lvlOverride>
  </w:num>
  <w:num w:numId="27" w16cid:durableId="2098942106">
    <w:abstractNumId w:val="2"/>
  </w:num>
  <w:num w:numId="28" w16cid:durableId="1748652529">
    <w:abstractNumId w:val="9"/>
  </w:num>
  <w:num w:numId="29" w16cid:durableId="1242790942">
    <w:abstractNumId w:val="5"/>
  </w:num>
  <w:num w:numId="30" w16cid:durableId="562914057">
    <w:abstractNumId w:val="8"/>
  </w:num>
  <w:num w:numId="31" w16cid:durableId="643043708">
    <w:abstractNumId w:val="17"/>
  </w:num>
  <w:num w:numId="32" w16cid:durableId="63930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491948">
    <w:abstractNumId w:val="2"/>
  </w:num>
  <w:num w:numId="34" w16cid:durableId="225141638">
    <w:abstractNumId w:val="12"/>
  </w:num>
  <w:num w:numId="35" w16cid:durableId="341518655">
    <w:abstractNumId w:val="18"/>
  </w:num>
  <w:num w:numId="36" w16cid:durableId="1986423877">
    <w:abstractNumId w:val="15"/>
  </w:num>
  <w:num w:numId="37" w16cid:durableId="211362335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065DF"/>
    <w:rsid w:val="000151EF"/>
    <w:rsid w:val="000239F5"/>
    <w:rsid w:val="00036340"/>
    <w:rsid w:val="00037653"/>
    <w:rsid w:val="00045CF0"/>
    <w:rsid w:val="00054B16"/>
    <w:rsid w:val="0008612A"/>
    <w:rsid w:val="00090E18"/>
    <w:rsid w:val="000A10BC"/>
    <w:rsid w:val="000A572C"/>
    <w:rsid w:val="000B0056"/>
    <w:rsid w:val="000C3C7B"/>
    <w:rsid w:val="000C4A14"/>
    <w:rsid w:val="000D0F93"/>
    <w:rsid w:val="000D466E"/>
    <w:rsid w:val="000D4C49"/>
    <w:rsid w:val="00106416"/>
    <w:rsid w:val="00110481"/>
    <w:rsid w:val="001127C9"/>
    <w:rsid w:val="00115B88"/>
    <w:rsid w:val="00120D23"/>
    <w:rsid w:val="00132F6A"/>
    <w:rsid w:val="00133913"/>
    <w:rsid w:val="00140221"/>
    <w:rsid w:val="00144D8F"/>
    <w:rsid w:val="001459F1"/>
    <w:rsid w:val="00155322"/>
    <w:rsid w:val="001642FC"/>
    <w:rsid w:val="0016496B"/>
    <w:rsid w:val="001743E2"/>
    <w:rsid w:val="001745F8"/>
    <w:rsid w:val="0018295D"/>
    <w:rsid w:val="001838CF"/>
    <w:rsid w:val="001868EE"/>
    <w:rsid w:val="001A3BA4"/>
    <w:rsid w:val="001A6D1F"/>
    <w:rsid w:val="001C5B00"/>
    <w:rsid w:val="001E30F6"/>
    <w:rsid w:val="00217EE5"/>
    <w:rsid w:val="002330FC"/>
    <w:rsid w:val="00235F5C"/>
    <w:rsid w:val="00257FA3"/>
    <w:rsid w:val="00270E3E"/>
    <w:rsid w:val="00277B56"/>
    <w:rsid w:val="002853FD"/>
    <w:rsid w:val="0029241C"/>
    <w:rsid w:val="002A19F5"/>
    <w:rsid w:val="002B4922"/>
    <w:rsid w:val="002C22C3"/>
    <w:rsid w:val="002C2D19"/>
    <w:rsid w:val="002D048C"/>
    <w:rsid w:val="002D10FA"/>
    <w:rsid w:val="002D4C55"/>
    <w:rsid w:val="002E6DED"/>
    <w:rsid w:val="002F1563"/>
    <w:rsid w:val="00300956"/>
    <w:rsid w:val="00317187"/>
    <w:rsid w:val="0032499A"/>
    <w:rsid w:val="003341F7"/>
    <w:rsid w:val="00347FEC"/>
    <w:rsid w:val="00356F45"/>
    <w:rsid w:val="00366B74"/>
    <w:rsid w:val="00375883"/>
    <w:rsid w:val="00397850"/>
    <w:rsid w:val="003A39C8"/>
    <w:rsid w:val="003A710A"/>
    <w:rsid w:val="003B659E"/>
    <w:rsid w:val="003C275E"/>
    <w:rsid w:val="003C2903"/>
    <w:rsid w:val="003C4FDE"/>
    <w:rsid w:val="003E58DF"/>
    <w:rsid w:val="003E78E3"/>
    <w:rsid w:val="003F6D44"/>
    <w:rsid w:val="00404C4C"/>
    <w:rsid w:val="0041423F"/>
    <w:rsid w:val="00414F81"/>
    <w:rsid w:val="00422CB6"/>
    <w:rsid w:val="00433CC1"/>
    <w:rsid w:val="00436A0F"/>
    <w:rsid w:val="00437150"/>
    <w:rsid w:val="0043750A"/>
    <w:rsid w:val="004732E9"/>
    <w:rsid w:val="004854BB"/>
    <w:rsid w:val="0048602B"/>
    <w:rsid w:val="00496606"/>
    <w:rsid w:val="00497AD2"/>
    <w:rsid w:val="004E4BA1"/>
    <w:rsid w:val="004E5E66"/>
    <w:rsid w:val="004E7ADB"/>
    <w:rsid w:val="0050205D"/>
    <w:rsid w:val="00503B4D"/>
    <w:rsid w:val="00504EE9"/>
    <w:rsid w:val="00521576"/>
    <w:rsid w:val="005250E6"/>
    <w:rsid w:val="00542D23"/>
    <w:rsid w:val="0054442C"/>
    <w:rsid w:val="00550285"/>
    <w:rsid w:val="00562492"/>
    <w:rsid w:val="00572A20"/>
    <w:rsid w:val="005836F8"/>
    <w:rsid w:val="005918FA"/>
    <w:rsid w:val="00592A86"/>
    <w:rsid w:val="00593931"/>
    <w:rsid w:val="00596416"/>
    <w:rsid w:val="005B0968"/>
    <w:rsid w:val="005B4801"/>
    <w:rsid w:val="005C1C9D"/>
    <w:rsid w:val="005C23A4"/>
    <w:rsid w:val="005D1CDF"/>
    <w:rsid w:val="005D2BB7"/>
    <w:rsid w:val="005D4D16"/>
    <w:rsid w:val="005E61A8"/>
    <w:rsid w:val="005F6419"/>
    <w:rsid w:val="0060438F"/>
    <w:rsid w:val="0060543D"/>
    <w:rsid w:val="006104DD"/>
    <w:rsid w:val="006130B5"/>
    <w:rsid w:val="00613818"/>
    <w:rsid w:val="00615EA2"/>
    <w:rsid w:val="00617400"/>
    <w:rsid w:val="00632D29"/>
    <w:rsid w:val="006431BA"/>
    <w:rsid w:val="00664950"/>
    <w:rsid w:val="006723FC"/>
    <w:rsid w:val="00672519"/>
    <w:rsid w:val="00683220"/>
    <w:rsid w:val="00687FA0"/>
    <w:rsid w:val="00695FAD"/>
    <w:rsid w:val="006A3C11"/>
    <w:rsid w:val="006B4D5E"/>
    <w:rsid w:val="006B7010"/>
    <w:rsid w:val="006C3095"/>
    <w:rsid w:val="006E1151"/>
    <w:rsid w:val="006E6311"/>
    <w:rsid w:val="006F7FE2"/>
    <w:rsid w:val="00707CA7"/>
    <w:rsid w:val="007145FF"/>
    <w:rsid w:val="00715B2A"/>
    <w:rsid w:val="007251B0"/>
    <w:rsid w:val="00731D77"/>
    <w:rsid w:val="007450F1"/>
    <w:rsid w:val="00746042"/>
    <w:rsid w:val="007465F5"/>
    <w:rsid w:val="00751515"/>
    <w:rsid w:val="007626B7"/>
    <w:rsid w:val="0078212B"/>
    <w:rsid w:val="00784DF6"/>
    <w:rsid w:val="00785232"/>
    <w:rsid w:val="007B186C"/>
    <w:rsid w:val="007C1696"/>
    <w:rsid w:val="007C1B32"/>
    <w:rsid w:val="007C3ED0"/>
    <w:rsid w:val="007C5971"/>
    <w:rsid w:val="007F54B9"/>
    <w:rsid w:val="00806A76"/>
    <w:rsid w:val="00811C9D"/>
    <w:rsid w:val="00816C80"/>
    <w:rsid w:val="0082115E"/>
    <w:rsid w:val="00825BA3"/>
    <w:rsid w:val="00841BCD"/>
    <w:rsid w:val="00851A8E"/>
    <w:rsid w:val="0085365B"/>
    <w:rsid w:val="00854E99"/>
    <w:rsid w:val="008640E3"/>
    <w:rsid w:val="00866579"/>
    <w:rsid w:val="008826C1"/>
    <w:rsid w:val="00883DFD"/>
    <w:rsid w:val="00897AB2"/>
    <w:rsid w:val="008A05C2"/>
    <w:rsid w:val="008A1BF7"/>
    <w:rsid w:val="008A2B82"/>
    <w:rsid w:val="008A5B0E"/>
    <w:rsid w:val="008B0961"/>
    <w:rsid w:val="0090091A"/>
    <w:rsid w:val="00903B1C"/>
    <w:rsid w:val="009042BD"/>
    <w:rsid w:val="009176DB"/>
    <w:rsid w:val="00936159"/>
    <w:rsid w:val="009503BF"/>
    <w:rsid w:val="00953945"/>
    <w:rsid w:val="00977E1D"/>
    <w:rsid w:val="009B0573"/>
    <w:rsid w:val="009B7B4B"/>
    <w:rsid w:val="009B7C21"/>
    <w:rsid w:val="009D6B91"/>
    <w:rsid w:val="00A04992"/>
    <w:rsid w:val="00A147AA"/>
    <w:rsid w:val="00A21D71"/>
    <w:rsid w:val="00A22B78"/>
    <w:rsid w:val="00A25AE5"/>
    <w:rsid w:val="00A37002"/>
    <w:rsid w:val="00A4355E"/>
    <w:rsid w:val="00A83E10"/>
    <w:rsid w:val="00A92B06"/>
    <w:rsid w:val="00A92BCD"/>
    <w:rsid w:val="00AA1B0E"/>
    <w:rsid w:val="00AA47B6"/>
    <w:rsid w:val="00AC163B"/>
    <w:rsid w:val="00AC5847"/>
    <w:rsid w:val="00AC5CA7"/>
    <w:rsid w:val="00AC6058"/>
    <w:rsid w:val="00AE2BA5"/>
    <w:rsid w:val="00AE46D7"/>
    <w:rsid w:val="00AE56B1"/>
    <w:rsid w:val="00AE6D09"/>
    <w:rsid w:val="00AF6995"/>
    <w:rsid w:val="00AF7A7C"/>
    <w:rsid w:val="00B07DDE"/>
    <w:rsid w:val="00B25614"/>
    <w:rsid w:val="00B408B6"/>
    <w:rsid w:val="00B40E37"/>
    <w:rsid w:val="00B542DA"/>
    <w:rsid w:val="00B73862"/>
    <w:rsid w:val="00B73F43"/>
    <w:rsid w:val="00B80698"/>
    <w:rsid w:val="00BA3C50"/>
    <w:rsid w:val="00BA6B66"/>
    <w:rsid w:val="00BA6E48"/>
    <w:rsid w:val="00BD0D19"/>
    <w:rsid w:val="00BE0AF6"/>
    <w:rsid w:val="00BE1F03"/>
    <w:rsid w:val="00BE58A7"/>
    <w:rsid w:val="00BE596E"/>
    <w:rsid w:val="00BF2218"/>
    <w:rsid w:val="00C001B1"/>
    <w:rsid w:val="00C01AAA"/>
    <w:rsid w:val="00C0426B"/>
    <w:rsid w:val="00C045DF"/>
    <w:rsid w:val="00C26D43"/>
    <w:rsid w:val="00C46548"/>
    <w:rsid w:val="00C574D5"/>
    <w:rsid w:val="00C64DCF"/>
    <w:rsid w:val="00C73F32"/>
    <w:rsid w:val="00C87462"/>
    <w:rsid w:val="00CA180C"/>
    <w:rsid w:val="00CB22B2"/>
    <w:rsid w:val="00CC1487"/>
    <w:rsid w:val="00CC188A"/>
    <w:rsid w:val="00CC3EE2"/>
    <w:rsid w:val="00CD7492"/>
    <w:rsid w:val="00CE3A6B"/>
    <w:rsid w:val="00D00211"/>
    <w:rsid w:val="00D06309"/>
    <w:rsid w:val="00D122F5"/>
    <w:rsid w:val="00D351EA"/>
    <w:rsid w:val="00D3541D"/>
    <w:rsid w:val="00D40288"/>
    <w:rsid w:val="00D43403"/>
    <w:rsid w:val="00D4345F"/>
    <w:rsid w:val="00D5270B"/>
    <w:rsid w:val="00D62E71"/>
    <w:rsid w:val="00D6430D"/>
    <w:rsid w:val="00D66188"/>
    <w:rsid w:val="00D731F6"/>
    <w:rsid w:val="00D740CA"/>
    <w:rsid w:val="00D85728"/>
    <w:rsid w:val="00D95481"/>
    <w:rsid w:val="00DC5C13"/>
    <w:rsid w:val="00DC7A13"/>
    <w:rsid w:val="00DF2997"/>
    <w:rsid w:val="00E10BC4"/>
    <w:rsid w:val="00E1204A"/>
    <w:rsid w:val="00E1415D"/>
    <w:rsid w:val="00E323E9"/>
    <w:rsid w:val="00E34018"/>
    <w:rsid w:val="00E35F68"/>
    <w:rsid w:val="00E40C56"/>
    <w:rsid w:val="00E437D2"/>
    <w:rsid w:val="00E55751"/>
    <w:rsid w:val="00EA2311"/>
    <w:rsid w:val="00EC7BC3"/>
    <w:rsid w:val="00ED7600"/>
    <w:rsid w:val="00EF6073"/>
    <w:rsid w:val="00EF698B"/>
    <w:rsid w:val="00F04AF0"/>
    <w:rsid w:val="00F12A46"/>
    <w:rsid w:val="00F1362C"/>
    <w:rsid w:val="00F31E52"/>
    <w:rsid w:val="00F33E01"/>
    <w:rsid w:val="00F37FE8"/>
    <w:rsid w:val="00F414F1"/>
    <w:rsid w:val="00F508B8"/>
    <w:rsid w:val="00F6521E"/>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CC6D35D-5AD7-4AA2-80F6-A48FC9C6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rdo" w:hAnsi="Card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82115E"/>
  </w:style>
  <w:style w:type="character" w:styleId="Emphasis">
    <w:name w:val="Emphasis"/>
    <w:uiPriority w:val="20"/>
    <w:qFormat/>
    <w:rsid w:val="0082115E"/>
    <w:rPr>
      <w:i/>
      <w:iCs/>
    </w:rPr>
  </w:style>
  <w:style w:type="paragraph" w:styleId="Header">
    <w:name w:val="header"/>
    <w:basedOn w:val="Normal"/>
    <w:link w:val="HeaderChar"/>
    <w:uiPriority w:val="99"/>
    <w:semiHidden/>
    <w:unhideWhenUsed/>
    <w:rsid w:val="00613818"/>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13818"/>
    <w:rPr>
      <w:rFonts w:ascii="Times New Roman" w:hAnsi="Times New Roman"/>
      <w:sz w:val="20"/>
    </w:rPr>
  </w:style>
  <w:style w:type="paragraph" w:styleId="Footer">
    <w:name w:val="footer"/>
    <w:basedOn w:val="Normal"/>
    <w:link w:val="FooterChar"/>
    <w:uiPriority w:val="99"/>
    <w:semiHidden/>
    <w:unhideWhenUsed/>
    <w:rsid w:val="00613818"/>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1381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39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5AIRPNAIUNRU-1328258698-20886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https://nokia.sharepoint.com/sites/c5g/5gradio/_layouts/15/DocIdRedir.aspx?ID=5AIRPNAIUNRU-1328258698-20886</Url>
      <Description>5AIRPNAIUNRU-1328258698-20886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3b34c8f0-1ef5-4d1e-bb66-517ce7fe7356"/>
    <ds:schemaRef ds:uri="http://purl.org/dc/terms/"/>
    <ds:schemaRef ds:uri="http://schemas.microsoft.com/office/infopath/2007/PartnerControls"/>
    <ds:schemaRef ds:uri="http://www.w3.org/XML/1998/namespace"/>
    <ds:schemaRef ds:uri="0b6aed8e-0313-4d17-80ff-d0e5da4931c5"/>
    <ds:schemaRef ds:uri="http://purl.org/dc/elements/1.1/"/>
    <ds:schemaRef ds:uri="http://schemas.microsoft.com/office/2006/documentManagement/types"/>
    <ds:schemaRef ds:uri="http://schemas.microsoft.com/office/2006/metadata/properties"/>
    <ds:schemaRef ds:uri="71c5aaf6-e6ce-465b-b873-5148d2a4c105"/>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383</TotalTime>
  <Pages>3</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Johannes Hejselbaek (Nokia)</cp:lastModifiedBy>
  <cp:revision>86</cp:revision>
  <dcterms:created xsi:type="dcterms:W3CDTF">2023-03-15T13:23:00Z</dcterms:created>
  <dcterms:modified xsi:type="dcterms:W3CDTF">2023-04-10T10:19:00Z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0a0b981a-7c22-469c-b65d-431fff86ff4d</vt:lpwstr>
  </property>
  <property fmtid="{D5CDD505-2E9C-101B-9397-08002B2CF9AE}" pid="11" name="MediaServiceImageTags">
    <vt:lpwstr/>
  </property>
  <property fmtid="{D5CDD505-2E9C-101B-9397-08002B2CF9AE}" pid="12" name="GrammarlyDocumentId">
    <vt:lpwstr>4e28b7aa-4b26-4864-8ad4-50dea9075790</vt:lpwstr>
  </property>
</Properties>
</file>